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407" w:rsidRDefault="002D4407" w:rsidP="008F4E0B">
      <w:pPr>
        <w:spacing w:after="0" w:line="360" w:lineRule="atLeast"/>
        <w:jc w:val="center"/>
        <w:rPr>
          <w:rFonts w:ascii="Arial" w:hAnsi="Arial" w:cs="Arial"/>
          <w:sz w:val="24"/>
          <w:szCs w:val="24"/>
          <w:lang w:val="es-MX"/>
        </w:rPr>
      </w:pPr>
      <w:r w:rsidRPr="00A82992">
        <w:rPr>
          <w:rFonts w:ascii="Arial" w:hAnsi="Arial" w:cs="Arial"/>
          <w:sz w:val="24"/>
          <w:szCs w:val="24"/>
          <w:lang w:val="es-MX"/>
        </w:rPr>
        <w:t>SISTEMAS DE APOYO A LA TOMA DE DECISIONES</w:t>
      </w:r>
    </w:p>
    <w:p w:rsidR="002D4407" w:rsidRDefault="002D4407" w:rsidP="005F6856">
      <w:pPr>
        <w:spacing w:after="0" w:line="360" w:lineRule="atLeast"/>
        <w:jc w:val="both"/>
        <w:rPr>
          <w:rFonts w:ascii="Arial" w:hAnsi="Arial" w:cs="Arial"/>
          <w:sz w:val="24"/>
          <w:szCs w:val="24"/>
          <w:lang w:val="es-MX"/>
        </w:rPr>
      </w:pPr>
    </w:p>
    <w:p w:rsidR="00E60C66" w:rsidRPr="00A82992" w:rsidRDefault="002D4407" w:rsidP="005F6856">
      <w:pPr>
        <w:spacing w:after="0" w:line="360" w:lineRule="atLeast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Con la finalidad de </w:t>
      </w:r>
      <w:r w:rsidR="005F6856" w:rsidRPr="00A82992">
        <w:rPr>
          <w:rFonts w:ascii="Arial" w:hAnsi="Arial" w:cs="Arial"/>
          <w:sz w:val="24"/>
          <w:szCs w:val="24"/>
          <w:lang w:val="es-MX"/>
        </w:rPr>
        <w:t xml:space="preserve">apoyar la planeación, </w:t>
      </w:r>
      <w:r w:rsidR="00E60C66" w:rsidRPr="00A82992">
        <w:rPr>
          <w:rFonts w:ascii="Arial" w:hAnsi="Arial" w:cs="Arial"/>
          <w:sz w:val="24"/>
          <w:szCs w:val="24"/>
          <w:lang w:val="es-MX"/>
        </w:rPr>
        <w:t xml:space="preserve">ejecución, evaluación y monitoreo de las actividades de manejo de </w:t>
      </w:r>
      <w:r>
        <w:rPr>
          <w:rFonts w:ascii="Arial" w:hAnsi="Arial" w:cs="Arial"/>
          <w:sz w:val="24"/>
          <w:szCs w:val="24"/>
          <w:lang w:val="es-MX"/>
        </w:rPr>
        <w:t>recursos naturales en la UMAFOR, se presentan las siguientes recomendaciones.</w:t>
      </w:r>
    </w:p>
    <w:p w:rsidR="00E60C66" w:rsidRPr="00A82992" w:rsidRDefault="00E60C66" w:rsidP="005F6856">
      <w:pPr>
        <w:autoSpaceDE w:val="0"/>
        <w:autoSpaceDN w:val="0"/>
        <w:adjustRightInd w:val="0"/>
        <w:spacing w:after="0" w:line="360" w:lineRule="atLeast"/>
        <w:rPr>
          <w:rFonts w:ascii="Arial" w:hAnsi="Arial" w:cs="Arial"/>
          <w:sz w:val="24"/>
          <w:szCs w:val="24"/>
        </w:rPr>
      </w:pPr>
    </w:p>
    <w:p w:rsidR="008F4E0B" w:rsidRDefault="002D4407" w:rsidP="008F4E0B">
      <w:pPr>
        <w:autoSpaceDE w:val="0"/>
        <w:autoSpaceDN w:val="0"/>
        <w:adjustRightInd w:val="0"/>
        <w:spacing w:after="0" w:line="36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una mejor planeación en la ejecución del ERF es conveniente priorizar sobre las </w:t>
      </w:r>
      <w:r w:rsidR="000D1A29">
        <w:rPr>
          <w:rFonts w:ascii="Arial" w:hAnsi="Arial" w:cs="Arial"/>
          <w:sz w:val="24"/>
          <w:szCs w:val="24"/>
        </w:rPr>
        <w:t>acc</w:t>
      </w:r>
      <w:r>
        <w:rPr>
          <w:rFonts w:ascii="Arial" w:hAnsi="Arial" w:cs="Arial"/>
          <w:sz w:val="24"/>
          <w:szCs w:val="24"/>
        </w:rPr>
        <w:t>iones planteadas</w:t>
      </w:r>
      <w:r w:rsidR="000D1A29">
        <w:rPr>
          <w:rFonts w:ascii="Arial" w:hAnsi="Arial" w:cs="Arial"/>
          <w:sz w:val="24"/>
          <w:szCs w:val="24"/>
        </w:rPr>
        <w:t xml:space="preserve"> como e</w:t>
      </w:r>
      <w:r w:rsidR="008F4E0B">
        <w:rPr>
          <w:rFonts w:ascii="Arial" w:hAnsi="Arial" w:cs="Arial"/>
          <w:sz w:val="24"/>
          <w:szCs w:val="24"/>
        </w:rPr>
        <w:t>strategias para el MFS, lo cual se sugiere se haga de la siguiente manera en caso de no haber presupuesto para todas.</w:t>
      </w:r>
    </w:p>
    <w:p w:rsidR="000D1A29" w:rsidRDefault="008F4E0B" w:rsidP="005F6856">
      <w:pPr>
        <w:autoSpaceDE w:val="0"/>
        <w:autoSpaceDN w:val="0"/>
        <w:adjustRightInd w:val="0"/>
        <w:spacing w:after="0" w:line="36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aconcuadrcula"/>
        <w:tblW w:w="0" w:type="auto"/>
        <w:jc w:val="center"/>
        <w:tblLook w:val="04A0"/>
      </w:tblPr>
      <w:tblGrid>
        <w:gridCol w:w="4322"/>
        <w:gridCol w:w="4322"/>
      </w:tblGrid>
      <w:tr w:rsidR="002D4407" w:rsidRPr="002D4407" w:rsidTr="002D4407">
        <w:trPr>
          <w:jc w:val="center"/>
        </w:trPr>
        <w:tc>
          <w:tcPr>
            <w:tcW w:w="4322" w:type="dxa"/>
            <w:shd w:val="clear" w:color="auto" w:fill="D9D9D9" w:themeFill="background1" w:themeFillShade="D9"/>
            <w:vAlign w:val="center"/>
          </w:tcPr>
          <w:p w:rsidR="002D4407" w:rsidRPr="002D4407" w:rsidRDefault="002D4407" w:rsidP="002D440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4407">
              <w:rPr>
                <w:rFonts w:ascii="Arial" w:hAnsi="Arial" w:cs="Arial"/>
                <w:b/>
                <w:sz w:val="20"/>
                <w:szCs w:val="20"/>
              </w:rPr>
              <w:t>Programa</w:t>
            </w:r>
          </w:p>
        </w:tc>
        <w:tc>
          <w:tcPr>
            <w:tcW w:w="4322" w:type="dxa"/>
            <w:shd w:val="clear" w:color="auto" w:fill="D9D9D9" w:themeFill="background1" w:themeFillShade="D9"/>
            <w:vAlign w:val="center"/>
          </w:tcPr>
          <w:p w:rsidR="002D4407" w:rsidRPr="002D4407" w:rsidRDefault="002D4407" w:rsidP="002D4407">
            <w:pPr>
              <w:autoSpaceDE w:val="0"/>
              <w:autoSpaceDN w:val="0"/>
              <w:adjustRightInd w:val="0"/>
              <w:spacing w:line="3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4407">
              <w:rPr>
                <w:rFonts w:ascii="Arial" w:hAnsi="Arial" w:cs="Arial"/>
                <w:b/>
                <w:sz w:val="20"/>
                <w:szCs w:val="20"/>
              </w:rPr>
              <w:t>Línea de acción</w:t>
            </w:r>
          </w:p>
        </w:tc>
      </w:tr>
      <w:tr w:rsidR="002D4407" w:rsidRPr="002D4407" w:rsidTr="002D4407">
        <w:trPr>
          <w:jc w:val="center"/>
        </w:trPr>
        <w:tc>
          <w:tcPr>
            <w:tcW w:w="4322" w:type="dxa"/>
            <w:vAlign w:val="center"/>
          </w:tcPr>
          <w:p w:rsidR="002D4407" w:rsidRPr="002D4407" w:rsidRDefault="002D4407" w:rsidP="006C0FE8">
            <w:pPr>
              <w:autoSpaceDE w:val="0"/>
              <w:autoSpaceDN w:val="0"/>
              <w:adjustRightInd w:val="0"/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D4407">
              <w:rPr>
                <w:rFonts w:ascii="Arial" w:hAnsi="Arial" w:cs="Arial"/>
                <w:sz w:val="20"/>
                <w:szCs w:val="20"/>
              </w:rPr>
              <w:t>rograma de producción forestal maderable y no maderable.</w:t>
            </w:r>
          </w:p>
        </w:tc>
        <w:tc>
          <w:tcPr>
            <w:tcW w:w="4322" w:type="dxa"/>
            <w:vAlign w:val="center"/>
          </w:tcPr>
          <w:p w:rsidR="002D4407" w:rsidRPr="002D4407" w:rsidRDefault="002D4407" w:rsidP="006C0FE8">
            <w:pPr>
              <w:autoSpaceDE w:val="0"/>
              <w:autoSpaceDN w:val="0"/>
              <w:adjustRightInd w:val="0"/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r w:rsidRPr="002D4407">
              <w:rPr>
                <w:rFonts w:ascii="Arial" w:hAnsi="Arial" w:cs="Arial"/>
                <w:sz w:val="20"/>
                <w:szCs w:val="20"/>
                <w:lang w:val="es-MX"/>
              </w:rPr>
              <w:t>Elaboración de proyectos productivos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2D4407" w:rsidRPr="002D4407" w:rsidTr="002D4407">
        <w:trPr>
          <w:jc w:val="center"/>
        </w:trPr>
        <w:tc>
          <w:tcPr>
            <w:tcW w:w="4322" w:type="dxa"/>
            <w:vAlign w:val="center"/>
          </w:tcPr>
          <w:p w:rsidR="002D4407" w:rsidRPr="002D4407" w:rsidRDefault="002D4407" w:rsidP="002D4407">
            <w:pPr>
              <w:autoSpaceDE w:val="0"/>
              <w:autoSpaceDN w:val="0"/>
              <w:adjustRightInd w:val="0"/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Programa de </w:t>
            </w:r>
            <w:r w:rsidRPr="002D4407">
              <w:rPr>
                <w:rFonts w:ascii="Arial" w:hAnsi="Arial" w:cs="Arial"/>
                <w:sz w:val="20"/>
                <w:szCs w:val="20"/>
              </w:rPr>
              <w:t>conservación y servicios ambientales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322" w:type="dxa"/>
            <w:vAlign w:val="center"/>
          </w:tcPr>
          <w:p w:rsidR="002D4407" w:rsidRPr="002D4407" w:rsidRDefault="002D4407" w:rsidP="002D4407">
            <w:pPr>
              <w:autoSpaceDE w:val="0"/>
              <w:autoSpaceDN w:val="0"/>
              <w:adjustRightInd w:val="0"/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r w:rsidRPr="002D4407">
              <w:rPr>
                <w:rFonts w:ascii="Arial" w:hAnsi="Arial" w:cs="Arial"/>
                <w:sz w:val="20"/>
                <w:szCs w:val="20"/>
                <w:lang w:val="es-MX"/>
              </w:rPr>
              <w:t>Conservación y restauración de suelos forestales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2D4407" w:rsidRPr="002D4407" w:rsidTr="002D4407">
        <w:trPr>
          <w:jc w:val="center"/>
        </w:trPr>
        <w:tc>
          <w:tcPr>
            <w:tcW w:w="4322" w:type="dxa"/>
            <w:vAlign w:val="center"/>
          </w:tcPr>
          <w:p w:rsidR="002D4407" w:rsidRPr="002D4407" w:rsidRDefault="002D4407" w:rsidP="002D4407">
            <w:pPr>
              <w:autoSpaceDE w:val="0"/>
              <w:autoSpaceDN w:val="0"/>
              <w:adjustRightInd w:val="0"/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2D4407">
              <w:rPr>
                <w:rFonts w:ascii="Arial" w:hAnsi="Arial" w:cs="Arial"/>
                <w:sz w:val="20"/>
                <w:szCs w:val="20"/>
              </w:rPr>
              <w:t>ndustria forestal.</w:t>
            </w:r>
          </w:p>
        </w:tc>
        <w:tc>
          <w:tcPr>
            <w:tcW w:w="4322" w:type="dxa"/>
            <w:vAlign w:val="center"/>
          </w:tcPr>
          <w:p w:rsidR="002D4407" w:rsidRPr="002D4407" w:rsidRDefault="002D4407" w:rsidP="002D4407">
            <w:pPr>
              <w:autoSpaceDE w:val="0"/>
              <w:autoSpaceDN w:val="0"/>
              <w:adjustRightInd w:val="0"/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r w:rsidRPr="002D4407">
              <w:rPr>
                <w:rFonts w:ascii="Arial" w:hAnsi="Arial" w:cs="Arial"/>
                <w:sz w:val="20"/>
                <w:szCs w:val="20"/>
              </w:rPr>
              <w:t>Mejora de cadenas productivas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D4407" w:rsidRPr="002D4407" w:rsidTr="002D4407">
        <w:trPr>
          <w:jc w:val="center"/>
        </w:trPr>
        <w:tc>
          <w:tcPr>
            <w:tcW w:w="4322" w:type="dxa"/>
            <w:vMerge w:val="restart"/>
            <w:vAlign w:val="center"/>
          </w:tcPr>
          <w:p w:rsidR="002D4407" w:rsidRPr="002D4407" w:rsidRDefault="002D4407" w:rsidP="002D4407">
            <w:pPr>
              <w:autoSpaceDE w:val="0"/>
              <w:autoSpaceDN w:val="0"/>
              <w:adjustRightInd w:val="0"/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D4407">
              <w:rPr>
                <w:rFonts w:ascii="Arial" w:hAnsi="Arial" w:cs="Arial"/>
                <w:sz w:val="20"/>
                <w:szCs w:val="20"/>
              </w:rPr>
              <w:t>lantaciones forestales comerciales.</w:t>
            </w:r>
          </w:p>
        </w:tc>
        <w:tc>
          <w:tcPr>
            <w:tcW w:w="4322" w:type="dxa"/>
            <w:vAlign w:val="center"/>
          </w:tcPr>
          <w:p w:rsidR="002D4407" w:rsidRPr="002D4407" w:rsidRDefault="002D4407" w:rsidP="002D4407">
            <w:pPr>
              <w:autoSpaceDE w:val="0"/>
              <w:autoSpaceDN w:val="0"/>
              <w:adjustRightInd w:val="0"/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r w:rsidRPr="002D4407">
              <w:rPr>
                <w:rFonts w:ascii="Arial" w:hAnsi="Arial" w:cs="Arial"/>
                <w:sz w:val="20"/>
                <w:szCs w:val="20"/>
                <w:lang w:val="es-MX"/>
              </w:rPr>
              <w:t>Establecimiento de viveros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2D4407" w:rsidRPr="002D4407" w:rsidTr="002D4407">
        <w:trPr>
          <w:jc w:val="center"/>
        </w:trPr>
        <w:tc>
          <w:tcPr>
            <w:tcW w:w="4322" w:type="dxa"/>
            <w:vMerge/>
            <w:vAlign w:val="center"/>
          </w:tcPr>
          <w:p w:rsidR="002D4407" w:rsidRPr="002D4407" w:rsidRDefault="002D4407" w:rsidP="002D4407">
            <w:pPr>
              <w:autoSpaceDE w:val="0"/>
              <w:autoSpaceDN w:val="0"/>
              <w:adjustRightInd w:val="0"/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2" w:type="dxa"/>
            <w:vAlign w:val="center"/>
          </w:tcPr>
          <w:p w:rsidR="002D4407" w:rsidRPr="002D4407" w:rsidRDefault="002D4407" w:rsidP="002D4407">
            <w:pPr>
              <w:autoSpaceDE w:val="0"/>
              <w:autoSpaceDN w:val="0"/>
              <w:adjustRightInd w:val="0"/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r w:rsidRPr="002D4407">
              <w:rPr>
                <w:rFonts w:ascii="Arial" w:hAnsi="Arial" w:cs="Arial"/>
                <w:sz w:val="20"/>
                <w:szCs w:val="20"/>
                <w:lang w:val="es-MX"/>
              </w:rPr>
              <w:t>Plantaciones forestales comerciales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  <w:tr w:rsidR="002D4407" w:rsidRPr="002D4407" w:rsidTr="002D4407">
        <w:trPr>
          <w:jc w:val="center"/>
        </w:trPr>
        <w:tc>
          <w:tcPr>
            <w:tcW w:w="4322" w:type="dxa"/>
            <w:vAlign w:val="center"/>
          </w:tcPr>
          <w:p w:rsidR="002D4407" w:rsidRPr="002D4407" w:rsidRDefault="002D4407" w:rsidP="002D4407">
            <w:pPr>
              <w:pStyle w:val="Tabladeilustraciones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</w:t>
            </w:r>
            <w:r w:rsidRPr="002D4407">
              <w:rPr>
                <w:rFonts w:cs="Arial"/>
                <w:sz w:val="20"/>
              </w:rPr>
              <w:t>roducción forestal maderable y no maderable.</w:t>
            </w:r>
          </w:p>
        </w:tc>
        <w:tc>
          <w:tcPr>
            <w:tcW w:w="4322" w:type="dxa"/>
            <w:vAlign w:val="center"/>
          </w:tcPr>
          <w:p w:rsidR="002D4407" w:rsidRPr="002D4407" w:rsidRDefault="002D4407" w:rsidP="002D4407">
            <w:pPr>
              <w:autoSpaceDE w:val="0"/>
              <w:autoSpaceDN w:val="0"/>
              <w:adjustRightInd w:val="0"/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r w:rsidRPr="002D4407">
              <w:rPr>
                <w:rFonts w:ascii="Arial" w:hAnsi="Arial" w:cs="Arial"/>
                <w:sz w:val="20"/>
                <w:szCs w:val="20"/>
                <w:lang w:val="es-MX"/>
              </w:rPr>
              <w:t>Programas de aprovechamiento forestal maderable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</w:tc>
      </w:tr>
    </w:tbl>
    <w:p w:rsidR="000D1A29" w:rsidRDefault="000D1A29" w:rsidP="005F6856">
      <w:pPr>
        <w:autoSpaceDE w:val="0"/>
        <w:autoSpaceDN w:val="0"/>
        <w:adjustRightInd w:val="0"/>
        <w:spacing w:after="0" w:line="360" w:lineRule="atLeast"/>
        <w:rPr>
          <w:rFonts w:ascii="Arial" w:hAnsi="Arial" w:cs="Arial"/>
          <w:sz w:val="24"/>
          <w:szCs w:val="24"/>
        </w:rPr>
      </w:pPr>
    </w:p>
    <w:p w:rsidR="00E60C66" w:rsidRPr="00A82992" w:rsidRDefault="00E60C66" w:rsidP="00E51C8A">
      <w:pPr>
        <w:autoSpaceDE w:val="0"/>
        <w:autoSpaceDN w:val="0"/>
        <w:adjustRightInd w:val="0"/>
        <w:spacing w:after="0" w:line="360" w:lineRule="atLeast"/>
        <w:jc w:val="both"/>
        <w:rPr>
          <w:rFonts w:ascii="Arial" w:hAnsi="Arial" w:cs="Arial"/>
          <w:sz w:val="24"/>
          <w:szCs w:val="24"/>
        </w:rPr>
      </w:pPr>
      <w:r w:rsidRPr="00A82992">
        <w:rPr>
          <w:rFonts w:ascii="Arial" w:hAnsi="Arial" w:cs="Arial"/>
          <w:sz w:val="24"/>
          <w:szCs w:val="24"/>
        </w:rPr>
        <w:t>Para la evaluación y monitoreo</w:t>
      </w:r>
      <w:r w:rsidR="008A2F05" w:rsidRPr="00A82992">
        <w:rPr>
          <w:rFonts w:ascii="Arial" w:hAnsi="Arial" w:cs="Arial"/>
          <w:sz w:val="24"/>
          <w:szCs w:val="24"/>
        </w:rPr>
        <w:t xml:space="preserve"> del ERF, se recomiendan las siguientes </w:t>
      </w:r>
      <w:r w:rsidRPr="00A82992">
        <w:rPr>
          <w:rFonts w:ascii="Arial" w:hAnsi="Arial" w:cs="Arial"/>
          <w:sz w:val="24"/>
          <w:szCs w:val="24"/>
        </w:rPr>
        <w:t>actividades:</w:t>
      </w:r>
    </w:p>
    <w:p w:rsidR="00E60C66" w:rsidRPr="00A82992" w:rsidRDefault="00E60C66" w:rsidP="005F6856">
      <w:pPr>
        <w:autoSpaceDE w:val="0"/>
        <w:autoSpaceDN w:val="0"/>
        <w:adjustRightInd w:val="0"/>
        <w:spacing w:after="0" w:line="360" w:lineRule="atLeast"/>
        <w:rPr>
          <w:rFonts w:ascii="Arial" w:hAnsi="Arial" w:cs="Arial"/>
          <w:sz w:val="24"/>
          <w:szCs w:val="24"/>
        </w:rPr>
      </w:pPr>
    </w:p>
    <w:p w:rsidR="00E60C66" w:rsidRPr="00A82992" w:rsidRDefault="008A2F05" w:rsidP="005E637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tLeast"/>
        <w:rPr>
          <w:rFonts w:ascii="Arial" w:hAnsi="Arial" w:cs="Arial"/>
          <w:sz w:val="24"/>
          <w:szCs w:val="24"/>
        </w:rPr>
      </w:pPr>
      <w:r w:rsidRPr="00A82992">
        <w:rPr>
          <w:rFonts w:ascii="Arial" w:hAnsi="Arial" w:cs="Arial"/>
          <w:sz w:val="24"/>
          <w:szCs w:val="24"/>
        </w:rPr>
        <w:t xml:space="preserve">Sera conveniente que las instituciones que operan proyectos forestales en la UMAFOR presenten un </w:t>
      </w:r>
      <w:r w:rsidR="00E60C66" w:rsidRPr="00A82992">
        <w:rPr>
          <w:rFonts w:ascii="Arial" w:hAnsi="Arial" w:cs="Arial"/>
          <w:sz w:val="24"/>
          <w:szCs w:val="24"/>
        </w:rPr>
        <w:t xml:space="preserve">informe </w:t>
      </w:r>
      <w:r w:rsidRPr="00A82992">
        <w:rPr>
          <w:rFonts w:ascii="Arial" w:hAnsi="Arial" w:cs="Arial"/>
          <w:sz w:val="24"/>
          <w:szCs w:val="24"/>
        </w:rPr>
        <w:t xml:space="preserve">semestral </w:t>
      </w:r>
      <w:r w:rsidR="00E60C66" w:rsidRPr="00A82992">
        <w:rPr>
          <w:rFonts w:ascii="Arial" w:hAnsi="Arial" w:cs="Arial"/>
          <w:sz w:val="24"/>
          <w:szCs w:val="24"/>
        </w:rPr>
        <w:t xml:space="preserve">de las actividades y avances del ERF, </w:t>
      </w:r>
      <w:r w:rsidRPr="00A82992">
        <w:rPr>
          <w:rFonts w:ascii="Arial" w:hAnsi="Arial" w:cs="Arial"/>
          <w:sz w:val="24"/>
          <w:szCs w:val="24"/>
        </w:rPr>
        <w:t xml:space="preserve">ante el </w:t>
      </w:r>
      <w:r w:rsidR="00E60C66" w:rsidRPr="00A82992">
        <w:rPr>
          <w:rFonts w:ascii="Arial" w:hAnsi="Arial" w:cs="Arial"/>
          <w:sz w:val="24"/>
          <w:szCs w:val="24"/>
        </w:rPr>
        <w:t>Consejo Estatal</w:t>
      </w:r>
      <w:r w:rsidR="00A82992">
        <w:rPr>
          <w:rFonts w:ascii="Arial" w:hAnsi="Arial" w:cs="Arial"/>
          <w:sz w:val="24"/>
          <w:szCs w:val="24"/>
        </w:rPr>
        <w:t xml:space="preserve"> Forestal</w:t>
      </w:r>
      <w:r w:rsidR="00E60C66" w:rsidRPr="00A82992">
        <w:rPr>
          <w:rFonts w:ascii="Arial" w:hAnsi="Arial" w:cs="Arial"/>
          <w:sz w:val="24"/>
          <w:szCs w:val="24"/>
        </w:rPr>
        <w:t>.</w:t>
      </w:r>
    </w:p>
    <w:p w:rsidR="005F6856" w:rsidRPr="00A82992" w:rsidRDefault="005F6856" w:rsidP="005F6856">
      <w:pPr>
        <w:autoSpaceDE w:val="0"/>
        <w:autoSpaceDN w:val="0"/>
        <w:adjustRightInd w:val="0"/>
        <w:spacing w:after="0" w:line="360" w:lineRule="atLeast"/>
        <w:rPr>
          <w:rFonts w:ascii="Wingdings" w:hAnsi="Wingdings" w:cs="Wingdings"/>
          <w:sz w:val="24"/>
          <w:szCs w:val="24"/>
        </w:rPr>
      </w:pPr>
    </w:p>
    <w:p w:rsidR="00E60C66" w:rsidRPr="00A82992" w:rsidRDefault="005E6378" w:rsidP="00E51C8A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tLeast"/>
        <w:jc w:val="both"/>
        <w:rPr>
          <w:rFonts w:ascii="Arial" w:hAnsi="Arial" w:cs="Arial"/>
          <w:sz w:val="24"/>
          <w:szCs w:val="24"/>
        </w:rPr>
      </w:pPr>
      <w:r w:rsidRPr="00A82992">
        <w:rPr>
          <w:rFonts w:ascii="Arial" w:hAnsi="Arial" w:cs="Arial"/>
          <w:sz w:val="24"/>
          <w:szCs w:val="24"/>
        </w:rPr>
        <w:t>Así</w:t>
      </w:r>
      <w:r w:rsidR="008A2F05" w:rsidRPr="00A82992">
        <w:rPr>
          <w:rFonts w:ascii="Arial" w:hAnsi="Arial" w:cs="Arial"/>
          <w:sz w:val="24"/>
          <w:szCs w:val="24"/>
        </w:rPr>
        <w:t xml:space="preserve"> mismo de acuerdo al informe anual realizar </w:t>
      </w:r>
      <w:r w:rsidR="00E60C66" w:rsidRPr="00A82992">
        <w:rPr>
          <w:rFonts w:ascii="Arial" w:hAnsi="Arial" w:cs="Arial"/>
          <w:sz w:val="24"/>
          <w:szCs w:val="24"/>
        </w:rPr>
        <w:t>recomendaciones de</w:t>
      </w:r>
      <w:r w:rsidR="005F6856" w:rsidRPr="00A82992">
        <w:rPr>
          <w:rFonts w:ascii="Arial" w:hAnsi="Arial" w:cs="Arial"/>
          <w:sz w:val="24"/>
          <w:szCs w:val="24"/>
        </w:rPr>
        <w:t xml:space="preserve"> </w:t>
      </w:r>
      <w:r w:rsidR="008A2F05" w:rsidRPr="00A82992">
        <w:rPr>
          <w:rFonts w:ascii="Arial" w:hAnsi="Arial" w:cs="Arial"/>
          <w:sz w:val="24"/>
          <w:szCs w:val="24"/>
        </w:rPr>
        <w:t>ajustes en caso necesario.</w:t>
      </w:r>
    </w:p>
    <w:p w:rsidR="005E6378" w:rsidRPr="00A82992" w:rsidRDefault="005E6378" w:rsidP="005F6856">
      <w:pPr>
        <w:autoSpaceDE w:val="0"/>
        <w:autoSpaceDN w:val="0"/>
        <w:adjustRightInd w:val="0"/>
        <w:spacing w:after="0" w:line="360" w:lineRule="atLeast"/>
        <w:rPr>
          <w:rFonts w:ascii="Arial" w:hAnsi="Arial" w:cs="Arial"/>
          <w:sz w:val="24"/>
          <w:szCs w:val="24"/>
        </w:rPr>
      </w:pPr>
    </w:p>
    <w:p w:rsidR="005E6378" w:rsidRPr="00A82992" w:rsidRDefault="005E6378" w:rsidP="005E637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360" w:lineRule="atLeast"/>
        <w:rPr>
          <w:rFonts w:ascii="Arial" w:hAnsi="Arial" w:cs="Arial"/>
          <w:sz w:val="24"/>
          <w:szCs w:val="24"/>
        </w:rPr>
      </w:pPr>
      <w:r w:rsidRPr="00A82992">
        <w:rPr>
          <w:rFonts w:ascii="Arial" w:hAnsi="Arial" w:cs="Arial"/>
          <w:sz w:val="24"/>
          <w:szCs w:val="24"/>
        </w:rPr>
        <w:t>Cada 5 años se realizará una evaluación del progreso del MFS en la región con base en los siguientes criterios e indicadores mínimos:</w:t>
      </w:r>
    </w:p>
    <w:p w:rsidR="00E51C8A" w:rsidRDefault="00E51C8A" w:rsidP="00E51C8A">
      <w:pPr>
        <w:autoSpaceDE w:val="0"/>
        <w:autoSpaceDN w:val="0"/>
        <w:adjustRightInd w:val="0"/>
        <w:spacing w:after="0" w:line="360" w:lineRule="atLeast"/>
        <w:rPr>
          <w:rFonts w:ascii="Arial" w:hAnsi="Arial" w:cs="Arial"/>
          <w:sz w:val="23"/>
          <w:szCs w:val="23"/>
        </w:rPr>
      </w:pPr>
    </w:p>
    <w:p w:rsidR="008F4E0B" w:rsidRDefault="008F4E0B" w:rsidP="00E51C8A">
      <w:pPr>
        <w:autoSpaceDE w:val="0"/>
        <w:autoSpaceDN w:val="0"/>
        <w:adjustRightInd w:val="0"/>
        <w:spacing w:after="0" w:line="360" w:lineRule="atLeast"/>
        <w:rPr>
          <w:rFonts w:ascii="Arial" w:hAnsi="Arial" w:cs="Arial"/>
          <w:sz w:val="23"/>
          <w:szCs w:val="23"/>
        </w:rPr>
      </w:pPr>
    </w:p>
    <w:p w:rsidR="008F4E0B" w:rsidRDefault="008F4E0B" w:rsidP="00E51C8A">
      <w:pPr>
        <w:autoSpaceDE w:val="0"/>
        <w:autoSpaceDN w:val="0"/>
        <w:adjustRightInd w:val="0"/>
        <w:spacing w:after="0" w:line="360" w:lineRule="atLeast"/>
        <w:rPr>
          <w:rFonts w:ascii="Arial" w:hAnsi="Arial" w:cs="Arial"/>
          <w:sz w:val="23"/>
          <w:szCs w:val="23"/>
        </w:rPr>
      </w:pPr>
    </w:p>
    <w:p w:rsidR="008F4E0B" w:rsidRPr="00E51C8A" w:rsidRDefault="008F4E0B" w:rsidP="00E51C8A">
      <w:pPr>
        <w:autoSpaceDE w:val="0"/>
        <w:autoSpaceDN w:val="0"/>
        <w:adjustRightInd w:val="0"/>
        <w:spacing w:after="0" w:line="360" w:lineRule="atLeast"/>
        <w:rPr>
          <w:rFonts w:ascii="Arial" w:hAnsi="Arial" w:cs="Arial"/>
          <w:sz w:val="23"/>
          <w:szCs w:val="23"/>
        </w:rPr>
      </w:pPr>
    </w:p>
    <w:tbl>
      <w:tblPr>
        <w:tblW w:w="7954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851"/>
        <w:gridCol w:w="2835"/>
        <w:gridCol w:w="1134"/>
        <w:gridCol w:w="1134"/>
      </w:tblGrid>
      <w:tr w:rsidR="00A82992" w:rsidRPr="00A82992" w:rsidTr="00A82992">
        <w:trPr>
          <w:cantSplit/>
          <w:trHeight w:val="795"/>
          <w:tblHeader/>
        </w:trPr>
        <w:tc>
          <w:tcPr>
            <w:tcW w:w="2851" w:type="dxa"/>
            <w:shd w:val="clear" w:color="000000" w:fill="D9D9D9"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lastRenderedPageBreak/>
              <w:t>Criterios</w:t>
            </w:r>
          </w:p>
        </w:tc>
        <w:tc>
          <w:tcPr>
            <w:tcW w:w="2835" w:type="dxa"/>
            <w:shd w:val="clear" w:color="000000" w:fill="D9D9D9"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t>Indicadores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:rsidR="00A82992" w:rsidRPr="00E51C8A" w:rsidRDefault="00A82992" w:rsidP="00A829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t>Definición Inicial</w:t>
            </w:r>
          </w:p>
        </w:tc>
        <w:tc>
          <w:tcPr>
            <w:tcW w:w="1134" w:type="dxa"/>
            <w:shd w:val="clear" w:color="000000" w:fill="D9D9D9"/>
            <w:vAlign w:val="center"/>
          </w:tcPr>
          <w:p w:rsidR="00A82992" w:rsidRPr="00A82992" w:rsidRDefault="00A82992" w:rsidP="00A829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</w:pPr>
            <w:r w:rsidRPr="00A829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t>Definición final</w:t>
            </w:r>
          </w:p>
        </w:tc>
      </w:tr>
      <w:tr w:rsidR="00A82992" w:rsidRPr="00A82992" w:rsidTr="00A82992">
        <w:trPr>
          <w:cantSplit/>
          <w:trHeight w:val="394"/>
        </w:trPr>
        <w:tc>
          <w:tcPr>
            <w:tcW w:w="2851" w:type="dxa"/>
            <w:vMerge w:val="restart"/>
            <w:shd w:val="clear" w:color="auto" w:fill="auto"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t xml:space="preserve">1. </w:t>
            </w:r>
            <w:r w:rsidRPr="00A829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t xml:space="preserve">Conservación de la diversidad </w:t>
            </w:r>
            <w:r w:rsidRPr="00E51C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t>biológica.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ES"/>
              </w:rPr>
              <w:t>Superficie por tipo forestal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515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Superficie de </w:t>
            </w:r>
            <w:proofErr w:type="spellStart"/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ANP´s</w:t>
            </w:r>
            <w:proofErr w:type="spellEnd"/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 de tipo forestal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570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ES"/>
              </w:rPr>
              <w:t>Fragmentación de los tipos forestales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545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Número de especies dependientes del bosque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548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Status de las especies de flora y fauna silvestres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cantSplit/>
          <w:trHeight w:val="795"/>
        </w:trPr>
        <w:tc>
          <w:tcPr>
            <w:tcW w:w="2851" w:type="dxa"/>
            <w:vMerge w:val="restart"/>
            <w:shd w:val="clear" w:color="auto" w:fill="auto"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t>2.</w:t>
            </w:r>
            <w:r w:rsidRPr="00A829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t xml:space="preserve">  Mantenimiento de la capacidad productiva de los ecosistemas </w:t>
            </w:r>
            <w:r w:rsidRPr="00E51C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t>forestales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ES"/>
              </w:rPr>
              <w:t>Superficie total y neta de bosques para producir madera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540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ES"/>
              </w:rPr>
              <w:t>Volumen total de árboles comerciales y no comerciales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685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Superficie de plantaciones de especies</w:t>
            </w:r>
            <w:r w:rsidRPr="00A82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 nativas y exóticas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795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ES"/>
              </w:rPr>
              <w:t>Extracción anual de madera respecto a la posibilidad sustentable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795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ES"/>
              </w:rPr>
              <w:t>Extracción de no maderables respecto al nivel determinado como sustentable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cantSplit/>
          <w:trHeight w:val="890"/>
        </w:trPr>
        <w:tc>
          <w:tcPr>
            <w:tcW w:w="2851" w:type="dxa"/>
            <w:shd w:val="clear" w:color="auto" w:fill="auto"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t>3. Mantenimiento de la sanidad y vitalidad de los ecosistemas forestales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ES"/>
              </w:rPr>
              <w:t>Superficie afectada arriba del rango histórico por diferentes agentes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cantSplit/>
          <w:trHeight w:val="652"/>
        </w:trPr>
        <w:tc>
          <w:tcPr>
            <w:tcW w:w="2851" w:type="dxa"/>
            <w:vMerge w:val="restart"/>
            <w:shd w:val="clear" w:color="auto" w:fill="auto"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t>4. Conservación y mantenimiento de los recursos suelo y agua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ES"/>
              </w:rPr>
              <w:t>Superficie y porcentajes por tipos de erosión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795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ES"/>
              </w:rPr>
              <w:t>Superficie y porcentaje de terrenos forestales manejados para protección de cuencas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cantSplit/>
          <w:trHeight w:val="795"/>
        </w:trPr>
        <w:tc>
          <w:tcPr>
            <w:tcW w:w="2851" w:type="dxa"/>
            <w:shd w:val="clear" w:color="auto" w:fill="auto"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5. Mantenimiento de la </w:t>
            </w:r>
            <w:r w:rsidRPr="00A8299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contribución</w:t>
            </w:r>
            <w:r w:rsidRPr="00E51C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de los bosques al ciclo global de carbono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Biomasa total de los tipos forestales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795"/>
        </w:trPr>
        <w:tc>
          <w:tcPr>
            <w:tcW w:w="2851" w:type="dxa"/>
            <w:vMerge w:val="restart"/>
            <w:shd w:val="clear" w:color="auto" w:fill="auto"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t>6. Mantenimiento y mejoramiento de los beneficios múltiples socioeconómicos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ES"/>
              </w:rPr>
              <w:t>Valor y volumen de la producción de madera incluyendo el valor agregado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446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82992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ES"/>
              </w:rPr>
              <w:t xml:space="preserve">Valor y cantidad de no </w:t>
            </w: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ES"/>
              </w:rPr>
              <w:t>maderables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795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Abastecimiento y consumo de madera y consumo por habitante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747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Superficie de terrenos forestales</w:t>
            </w:r>
            <w:r w:rsidRPr="00A82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manejados para recreación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795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Superficie de terrenos manejados para valores culturales, sociales y espirituales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795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82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Empleos directos e </w:t>
            </w: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indirectos en el s</w:t>
            </w:r>
            <w:r w:rsidRPr="00A82992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 xml:space="preserve">ector forestal y porcentaje del </w:t>
            </w: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total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606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Salarios promedio y tasa de accidentes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cantSplit/>
          <w:trHeight w:val="795"/>
        </w:trPr>
        <w:tc>
          <w:tcPr>
            <w:tcW w:w="2851" w:type="dxa"/>
            <w:vMerge w:val="restart"/>
            <w:shd w:val="clear" w:color="auto" w:fill="auto"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MX" w:eastAsia="es-ES"/>
              </w:rPr>
              <w:t>7. Marcos legal, institucional y económico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Cantidad en los derechos de propiedad y derechos de los pueblos indígenas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646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Participación social en las decisiones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428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Impulso al MFS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556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val="es-MX" w:eastAsia="es-ES"/>
              </w:rPr>
              <w:t>Apoyo del marco institucional para el MFS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422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Marco regulatorio adecuado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413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Políticas de inversión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A82992" w:rsidRPr="00A82992" w:rsidTr="00A82992">
        <w:trPr>
          <w:trHeight w:val="420"/>
        </w:trPr>
        <w:tc>
          <w:tcPr>
            <w:tcW w:w="2851" w:type="dxa"/>
            <w:vMerge/>
            <w:vAlign w:val="center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51C8A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Confiabilidad de los inventarios forestales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82992" w:rsidRPr="00E51C8A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4" w:type="dxa"/>
          </w:tcPr>
          <w:p w:rsidR="00A82992" w:rsidRPr="00A82992" w:rsidRDefault="00A82992" w:rsidP="00E51C8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5E6378" w:rsidRDefault="005E6378" w:rsidP="005E6378">
      <w:pPr>
        <w:autoSpaceDE w:val="0"/>
        <w:autoSpaceDN w:val="0"/>
        <w:adjustRightInd w:val="0"/>
        <w:spacing w:after="0" w:line="360" w:lineRule="atLeast"/>
        <w:rPr>
          <w:rFonts w:ascii="Arial" w:hAnsi="Arial" w:cs="Arial"/>
          <w:sz w:val="23"/>
          <w:szCs w:val="23"/>
        </w:rPr>
      </w:pPr>
    </w:p>
    <w:p w:rsidR="000D1A29" w:rsidRDefault="000D1A29" w:rsidP="000D1A29">
      <w:pPr>
        <w:autoSpaceDE w:val="0"/>
        <w:autoSpaceDN w:val="0"/>
        <w:adjustRightInd w:val="0"/>
        <w:spacing w:after="0" w:line="360" w:lineRule="atLeast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Dentro de estos indicadores los que se consideran de prioridad para contribuir con el MFS en la UMAFOR son; conservación y mantenimiento de los recursos suelo y agua, mantenimiento de la capacidad productiva de los ecosistemas forestal y mantenimiento y mejoramiento de los beneficios múltiples socioeconómicos.</w:t>
      </w:r>
    </w:p>
    <w:sectPr w:rsidR="000D1A29" w:rsidSect="00684C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2D16"/>
    <w:multiLevelType w:val="hybridMultilevel"/>
    <w:tmpl w:val="DEE0B2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322689"/>
    <w:multiLevelType w:val="hybridMultilevel"/>
    <w:tmpl w:val="0E8C4F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/>
  <w:rsids>
    <w:rsidRoot w:val="00E60C66"/>
    <w:rsid w:val="000B09B7"/>
    <w:rsid w:val="000D1A29"/>
    <w:rsid w:val="002D4407"/>
    <w:rsid w:val="005E6378"/>
    <w:rsid w:val="005F6856"/>
    <w:rsid w:val="00684C47"/>
    <w:rsid w:val="008A2F05"/>
    <w:rsid w:val="008F4E0B"/>
    <w:rsid w:val="00A82992"/>
    <w:rsid w:val="00B94860"/>
    <w:rsid w:val="00BB71BD"/>
    <w:rsid w:val="00E51C8A"/>
    <w:rsid w:val="00E60C66"/>
    <w:rsid w:val="00EE3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C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0C66"/>
    <w:pPr>
      <w:ind w:left="720"/>
      <w:contextualSpacing/>
    </w:pPr>
  </w:style>
  <w:style w:type="table" w:styleId="Tablaconcuadrcula">
    <w:name w:val="Table Grid"/>
    <w:basedOn w:val="Tablanormal"/>
    <w:uiPriority w:val="59"/>
    <w:rsid w:val="000D1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adeilustraciones">
    <w:name w:val="table of figures"/>
    <w:basedOn w:val="Normal"/>
    <w:next w:val="Normal"/>
    <w:uiPriority w:val="99"/>
    <w:rsid w:val="002D4407"/>
    <w:pPr>
      <w:spacing w:after="0" w:line="240" w:lineRule="auto"/>
    </w:pPr>
    <w:rPr>
      <w:rFonts w:ascii="Arial" w:eastAsia="Times New Roman" w:hAnsi="Arial" w:cstheme="minorHAnsi"/>
      <w:iCs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1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3</Pages>
  <Words>584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MAGGIE</dc:creator>
  <cp:lastModifiedBy>MAGGIE</cp:lastModifiedBy>
  <cp:revision>1</cp:revision>
  <dcterms:created xsi:type="dcterms:W3CDTF">2011-01-19T00:26:00Z</dcterms:created>
  <dcterms:modified xsi:type="dcterms:W3CDTF">2011-01-19T06:09:00Z</dcterms:modified>
</cp:coreProperties>
</file>